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D8" w:rsidRDefault="00640C88" w:rsidP="00640C88">
      <w:pPr>
        <w:tabs>
          <w:tab w:val="left" w:pos="1046"/>
          <w:tab w:val="center" w:pos="4680"/>
        </w:tabs>
        <w:bidi/>
        <w:rPr>
          <w:rFonts w:ascii="Tahoma" w:hAnsi="Tahoma" w:cs="Tahoma"/>
          <w:b/>
          <w:bCs/>
          <w:sz w:val="28"/>
          <w:szCs w:val="28"/>
          <w:rtl/>
          <w:lang w:bidi="he-IL"/>
        </w:rPr>
      </w:pPr>
      <w:bookmarkStart w:id="0" w:name="_GoBack"/>
      <w:bookmarkEnd w:id="0"/>
      <w:r w:rsidRPr="004A72A4">
        <w:rPr>
          <w:rFonts w:ascii="Tahoma" w:hAnsi="Tahoma" w:cs="Tahoma"/>
          <w:b/>
          <w:bCs/>
          <w:sz w:val="28"/>
          <w:szCs w:val="28"/>
          <w:rtl/>
          <w:lang w:bidi="he-IL"/>
        </w:rPr>
        <w:t xml:space="preserve">      </w:t>
      </w:r>
    </w:p>
    <w:p w:rsidR="00CF15D8" w:rsidRDefault="00CF15D8" w:rsidP="00CF15D8">
      <w:pPr>
        <w:tabs>
          <w:tab w:val="left" w:pos="1046"/>
          <w:tab w:val="center" w:pos="4680"/>
        </w:tabs>
        <w:bidi/>
        <w:rPr>
          <w:rFonts w:ascii="Tahoma" w:hAnsi="Tahoma" w:cs="Tahoma"/>
          <w:b/>
          <w:bCs/>
          <w:sz w:val="28"/>
          <w:szCs w:val="28"/>
          <w:rtl/>
          <w:lang w:bidi="he-IL"/>
        </w:rPr>
      </w:pPr>
    </w:p>
    <w:p w:rsidR="00CF15D8" w:rsidRPr="00CF15D8" w:rsidRDefault="00CF15D8" w:rsidP="00CF15D8">
      <w:pPr>
        <w:jc w:val="center"/>
        <w:rPr>
          <w:rFonts w:ascii="Tahoma" w:eastAsia="Calibri" w:hAnsi="Tahoma" w:cs="David"/>
          <w:b/>
          <w:bCs/>
          <w:sz w:val="32"/>
          <w:szCs w:val="32"/>
          <w:rtl/>
          <w:lang w:bidi="he-IL"/>
        </w:rPr>
      </w:pPr>
      <w:r>
        <w:rPr>
          <w:rFonts w:ascii="Tahoma" w:hAnsi="Tahoma" w:cs="Tahoma" w:hint="cs"/>
          <w:b/>
          <w:bCs/>
          <w:sz w:val="28"/>
          <w:szCs w:val="28"/>
          <w:rtl/>
          <w:lang w:bidi="he-IL"/>
        </w:rPr>
        <w:tab/>
      </w:r>
      <w:r w:rsidRPr="00CF15D8">
        <w:rPr>
          <w:rFonts w:ascii="Tahoma" w:eastAsia="Calibri" w:hAnsi="Tahoma" w:cs="David"/>
          <w:b/>
          <w:bCs/>
          <w:sz w:val="32"/>
          <w:szCs w:val="32"/>
          <w:rtl/>
          <w:lang w:bidi="he-IL"/>
        </w:rPr>
        <w:t xml:space="preserve">נוהל </w:t>
      </w:r>
      <w:r w:rsidRPr="00CF15D8">
        <w:rPr>
          <w:rFonts w:ascii="Tahoma" w:eastAsia="Calibri" w:hAnsi="Tahoma" w:cs="David" w:hint="cs"/>
          <w:b/>
          <w:bCs/>
          <w:sz w:val="32"/>
          <w:szCs w:val="32"/>
          <w:rtl/>
          <w:lang w:bidi="he-IL"/>
        </w:rPr>
        <w:t>ליווי קב"ט לדיון בהוצאה לפועל</w:t>
      </w:r>
      <w:r w:rsidRPr="00CF15D8">
        <w:rPr>
          <w:rFonts w:ascii="Tahoma" w:eastAsia="Calibri" w:hAnsi="Tahoma" w:cs="David"/>
          <w:b/>
          <w:bCs/>
          <w:sz w:val="32"/>
          <w:szCs w:val="32"/>
          <w:rtl/>
          <w:lang w:bidi="he-IL"/>
        </w:rPr>
        <w:t xml:space="preserve"> </w:t>
      </w:r>
      <w:r w:rsidRPr="00CF15D8">
        <w:rPr>
          <w:rFonts w:ascii="Tahoma" w:eastAsia="Calibri" w:hAnsi="Tahoma" w:cs="David" w:hint="cs"/>
          <w:b/>
          <w:bCs/>
          <w:sz w:val="32"/>
          <w:szCs w:val="32"/>
          <w:rtl/>
          <w:lang w:bidi="he-IL"/>
        </w:rPr>
        <w:t>- ל</w:t>
      </w:r>
      <w:r w:rsidRPr="00CF15D8">
        <w:rPr>
          <w:rFonts w:ascii="Tahoma" w:eastAsia="Calibri" w:hAnsi="Tahoma" w:cs="David"/>
          <w:b/>
          <w:bCs/>
          <w:sz w:val="32"/>
          <w:szCs w:val="32"/>
          <w:rtl/>
          <w:lang w:bidi="he-IL"/>
        </w:rPr>
        <w:t>נפגעת אלימות במשפחה</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CF15D8">
      <w:pPr>
        <w:bidi/>
        <w:spacing w:after="200" w:line="276" w:lineRule="auto"/>
        <w:ind w:firstLine="720"/>
        <w:rPr>
          <w:rFonts w:ascii="Tahoma" w:eastAsia="Calibri" w:hAnsi="Tahoma" w:cs="David"/>
          <w:b/>
          <w:bCs/>
          <w:sz w:val="24"/>
          <w:szCs w:val="24"/>
          <w:u w:val="single"/>
          <w:rtl/>
          <w:lang w:bidi="he-IL"/>
        </w:rPr>
      </w:pPr>
      <w:r w:rsidRPr="00CF15D8">
        <w:rPr>
          <w:rFonts w:ascii="Tahoma" w:eastAsia="Calibri" w:hAnsi="Tahoma" w:cs="David" w:hint="cs"/>
          <w:b/>
          <w:bCs/>
          <w:sz w:val="24"/>
          <w:szCs w:val="24"/>
          <w:u w:val="single"/>
          <w:rtl/>
          <w:lang w:bidi="he-IL"/>
        </w:rPr>
        <w:t>מה זה?</w:t>
      </w:r>
    </w:p>
    <w:p w:rsidR="00CF15D8" w:rsidRPr="00CF15D8" w:rsidRDefault="00CF15D8" w:rsidP="00CF15D8">
      <w:pPr>
        <w:bidi/>
        <w:spacing w:after="200" w:line="276" w:lineRule="auto"/>
        <w:ind w:left="720"/>
        <w:rPr>
          <w:rFonts w:ascii="Tahoma" w:eastAsia="Calibri" w:hAnsi="Tahoma" w:cs="David"/>
          <w:sz w:val="24"/>
          <w:szCs w:val="24"/>
          <w:rtl/>
          <w:lang w:bidi="he-IL"/>
        </w:rPr>
      </w:pPr>
      <w:r w:rsidRPr="00CF15D8">
        <w:rPr>
          <w:rFonts w:ascii="Tahoma" w:eastAsia="Calibri" w:hAnsi="Tahoma" w:cs="David" w:hint="cs"/>
          <w:sz w:val="24"/>
          <w:szCs w:val="24"/>
          <w:rtl/>
          <w:lang w:bidi="he-IL"/>
        </w:rPr>
        <w:t xml:space="preserve">הנוהל </w:t>
      </w:r>
      <w:r w:rsidRPr="00CF15D8">
        <w:rPr>
          <w:rFonts w:ascii="Tahoma" w:eastAsia="Calibri" w:hAnsi="Tahoma" w:cs="David"/>
          <w:sz w:val="24"/>
          <w:szCs w:val="24"/>
          <w:rtl/>
          <w:lang w:bidi="he-IL"/>
        </w:rPr>
        <w:t>מאפשר</w:t>
      </w:r>
      <w:r w:rsidRPr="00CF15D8">
        <w:rPr>
          <w:rFonts w:ascii="Tahoma" w:eastAsia="Calibri" w:hAnsi="Tahoma" w:cs="David" w:hint="cs"/>
          <w:sz w:val="24"/>
          <w:szCs w:val="24"/>
          <w:rtl/>
          <w:lang w:bidi="he-IL"/>
        </w:rPr>
        <w:t xml:space="preserve"> לנשים נפגעות אלימות, הנרתעות מלהגיע ללשכת ההוצאה לפועל, מחשש שמא ייחשפו להתנכלות ואיומים מצד בן הזוג לשעבר או קרובים אחרים, לקבל ליווי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בהגעה לדיון, במהלך הדיון ובחזרה הביתה בסוף הדיון.  </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CF15D8">
      <w:pPr>
        <w:bidi/>
        <w:spacing w:after="200" w:line="276" w:lineRule="auto"/>
        <w:ind w:firstLine="720"/>
        <w:rPr>
          <w:rFonts w:ascii="Tahoma" w:eastAsia="Calibri" w:hAnsi="Tahoma" w:cs="David"/>
          <w:b/>
          <w:bCs/>
          <w:sz w:val="24"/>
          <w:szCs w:val="24"/>
          <w:u w:val="single"/>
          <w:rtl/>
          <w:lang w:bidi="he-IL"/>
        </w:rPr>
      </w:pPr>
      <w:r w:rsidRPr="00CF15D8">
        <w:rPr>
          <w:rFonts w:ascii="Tahoma" w:eastAsia="Calibri" w:hAnsi="Tahoma" w:cs="David" w:hint="cs"/>
          <w:b/>
          <w:bCs/>
          <w:sz w:val="24"/>
          <w:szCs w:val="24"/>
          <w:u w:val="single"/>
          <w:rtl/>
          <w:lang w:bidi="he-IL"/>
        </w:rPr>
        <w:t>כיצד מתבצע הליווי?</w:t>
      </w:r>
    </w:p>
    <w:p w:rsidR="00CF15D8" w:rsidRPr="00CF15D8" w:rsidRDefault="00CF15D8" w:rsidP="00CF15D8">
      <w:pPr>
        <w:bidi/>
        <w:spacing w:after="200" w:line="276" w:lineRule="auto"/>
        <w:ind w:left="720"/>
        <w:rPr>
          <w:rFonts w:ascii="Tahoma" w:eastAsia="Calibri" w:hAnsi="Tahoma" w:cs="David"/>
          <w:sz w:val="24"/>
          <w:szCs w:val="24"/>
          <w:rtl/>
          <w:lang w:bidi="he-IL"/>
        </w:rPr>
      </w:pPr>
      <w:r w:rsidRPr="00CF15D8">
        <w:rPr>
          <w:rFonts w:ascii="Tahoma" w:eastAsia="Calibri" w:hAnsi="Tahoma" w:cs="David" w:hint="cs"/>
          <w:sz w:val="24"/>
          <w:szCs w:val="24"/>
          <w:rtl/>
          <w:lang w:bidi="he-IL"/>
        </w:rPr>
        <w:t xml:space="preserve">בתיאום מראש, מאבטח יפגוש אותך מחוץ ללשכת ההוצאה לפועל, במקום שנוח לך. הוא ילווה אותך עד הלשכה ויישאר לידך במשך כל זמן הימצאותך בה. לאחר מכן הוא ילווה אותך בחזרה למקום שתבחרי. אם את מגיעה לדיון בפני רשם ההוצאה לפועל, אגף הביטחון ידאג לכך שלפני הדיון, תמתיני במתחם מאובטח אליו לא יוכלו אנשים אחרים להיכנס. במהלך הדיון אצל הרשם, ישב המאבטח לידך. </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CF15D8">
      <w:pPr>
        <w:bidi/>
        <w:spacing w:after="200" w:line="276" w:lineRule="auto"/>
        <w:ind w:firstLine="720"/>
        <w:rPr>
          <w:rFonts w:ascii="Tahoma" w:eastAsia="Calibri" w:hAnsi="Tahoma" w:cs="David"/>
          <w:b/>
          <w:bCs/>
          <w:sz w:val="24"/>
          <w:szCs w:val="24"/>
          <w:u w:val="single"/>
          <w:rtl/>
          <w:lang w:bidi="he-IL"/>
        </w:rPr>
      </w:pPr>
      <w:r w:rsidRPr="00CF15D8">
        <w:rPr>
          <w:rFonts w:ascii="Tahoma" w:eastAsia="Calibri" w:hAnsi="Tahoma" w:cs="David" w:hint="cs"/>
          <w:b/>
          <w:bCs/>
          <w:sz w:val="24"/>
          <w:szCs w:val="24"/>
          <w:u w:val="single"/>
          <w:rtl/>
          <w:lang w:bidi="he-IL"/>
        </w:rPr>
        <w:t xml:space="preserve">כיצד לפנות כדי לבקש ליווי? </w:t>
      </w:r>
    </w:p>
    <w:p w:rsidR="00CF15D8" w:rsidRPr="00CF15D8" w:rsidRDefault="00CF15D8" w:rsidP="00CF15D8">
      <w:pPr>
        <w:bidi/>
        <w:spacing w:after="200" w:line="276" w:lineRule="auto"/>
        <w:ind w:left="720"/>
        <w:rPr>
          <w:rFonts w:ascii="Tahoma" w:eastAsia="Calibri" w:hAnsi="Tahoma" w:cs="David"/>
          <w:sz w:val="24"/>
          <w:szCs w:val="24"/>
          <w:rtl/>
          <w:lang w:bidi="he-IL"/>
        </w:rPr>
      </w:pPr>
      <w:r w:rsidRPr="00CF15D8">
        <w:rPr>
          <w:rFonts w:ascii="Tahoma" w:eastAsia="Calibri" w:hAnsi="Tahoma" w:cs="David" w:hint="cs"/>
          <w:sz w:val="24"/>
          <w:szCs w:val="24"/>
          <w:rtl/>
          <w:lang w:bidi="he-IL"/>
        </w:rPr>
        <w:t>לפני מועד ההגעה ללשכת ההוצאה לפועל, יש להתקשר לאגף הביטחון של רשות האכיפה והגבייה, לאחד מהגורמים הבאים:</w:t>
      </w:r>
    </w:p>
    <w:p w:rsidR="00CF15D8" w:rsidRPr="00CF15D8" w:rsidRDefault="00CF15D8" w:rsidP="00CF15D8">
      <w:pPr>
        <w:numPr>
          <w:ilvl w:val="0"/>
          <w:numId w:val="5"/>
        </w:numPr>
        <w:bidi/>
        <w:spacing w:after="200" w:line="276" w:lineRule="auto"/>
        <w:contextualSpacing/>
        <w:rPr>
          <w:rFonts w:ascii="Tahoma" w:eastAsia="Calibri" w:hAnsi="Tahoma" w:cs="David"/>
          <w:sz w:val="24"/>
          <w:szCs w:val="24"/>
          <w:lang w:bidi="he-IL"/>
        </w:rPr>
      </w:pPr>
      <w:r w:rsidRPr="00CF15D8">
        <w:rPr>
          <w:rFonts w:ascii="Tahoma" w:eastAsia="Calibri" w:hAnsi="Tahoma" w:cs="David" w:hint="cs"/>
          <w:sz w:val="24"/>
          <w:szCs w:val="24"/>
          <w:rtl/>
          <w:lang w:bidi="he-IL"/>
        </w:rPr>
        <w:t xml:space="preserve">קב"ט רשות האכיפה והגבייה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054-4716946</w:t>
      </w:r>
    </w:p>
    <w:p w:rsidR="00CF15D8" w:rsidRPr="00CF15D8" w:rsidRDefault="00CF15D8" w:rsidP="00CF15D8">
      <w:pPr>
        <w:numPr>
          <w:ilvl w:val="0"/>
          <w:numId w:val="5"/>
        </w:numPr>
        <w:bidi/>
        <w:spacing w:after="200" w:line="276" w:lineRule="auto"/>
        <w:contextualSpacing/>
        <w:rPr>
          <w:rFonts w:ascii="Tahoma" w:eastAsia="Calibri" w:hAnsi="Tahoma" w:cs="David"/>
          <w:sz w:val="24"/>
          <w:szCs w:val="24"/>
          <w:lang w:bidi="he-IL"/>
        </w:rPr>
      </w:pPr>
      <w:r w:rsidRPr="00CF15D8">
        <w:rPr>
          <w:rFonts w:ascii="Tahoma" w:eastAsia="Calibri" w:hAnsi="Tahoma" w:cs="David" w:hint="cs"/>
          <w:sz w:val="24"/>
          <w:szCs w:val="24"/>
          <w:rtl/>
          <w:lang w:bidi="he-IL"/>
        </w:rPr>
        <w:t xml:space="preserve">קב"ט מחוז חיפה והצפון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050-6255689, 04-6774026 </w:t>
      </w:r>
    </w:p>
    <w:p w:rsidR="00CF15D8" w:rsidRPr="00CF15D8" w:rsidRDefault="00CF15D8" w:rsidP="00CF15D8">
      <w:pPr>
        <w:numPr>
          <w:ilvl w:val="0"/>
          <w:numId w:val="5"/>
        </w:numPr>
        <w:bidi/>
        <w:spacing w:after="200" w:line="276" w:lineRule="auto"/>
        <w:contextualSpacing/>
        <w:rPr>
          <w:rFonts w:ascii="Tahoma" w:eastAsia="Calibri" w:hAnsi="Tahoma" w:cs="David"/>
          <w:sz w:val="24"/>
          <w:szCs w:val="24"/>
          <w:lang w:bidi="he-IL"/>
        </w:rPr>
      </w:pPr>
      <w:r w:rsidRPr="00CF15D8">
        <w:rPr>
          <w:rFonts w:ascii="Tahoma" w:eastAsia="Calibri" w:hAnsi="Tahoma" w:cs="David" w:hint="cs"/>
          <w:sz w:val="24"/>
          <w:szCs w:val="24"/>
          <w:rtl/>
          <w:lang w:bidi="he-IL"/>
        </w:rPr>
        <w:t xml:space="preserve">קב"ט מחוז ת"א והמרכז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050-5070970, 09-9537388</w:t>
      </w:r>
    </w:p>
    <w:p w:rsidR="00CF15D8" w:rsidRPr="00CF15D8" w:rsidRDefault="00CF15D8" w:rsidP="00CF15D8">
      <w:pPr>
        <w:numPr>
          <w:ilvl w:val="0"/>
          <w:numId w:val="5"/>
        </w:numPr>
        <w:bidi/>
        <w:spacing w:after="200" w:line="276" w:lineRule="auto"/>
        <w:contextualSpacing/>
        <w:rPr>
          <w:rFonts w:ascii="Tahoma" w:eastAsia="Calibri" w:hAnsi="Tahoma" w:cs="David"/>
          <w:sz w:val="24"/>
          <w:szCs w:val="24"/>
          <w:lang w:bidi="he-IL"/>
        </w:rPr>
      </w:pPr>
      <w:r w:rsidRPr="00CF15D8">
        <w:rPr>
          <w:rFonts w:ascii="Tahoma" w:eastAsia="Calibri" w:hAnsi="Tahoma" w:cs="David" w:hint="cs"/>
          <w:sz w:val="24"/>
          <w:szCs w:val="24"/>
          <w:rtl/>
          <w:lang w:bidi="he-IL"/>
        </w:rPr>
        <w:t xml:space="preserve">קב"ט מחוז ירושלים והדרום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052-3570341 </w:t>
      </w:r>
    </w:p>
    <w:p w:rsidR="00CF15D8" w:rsidRPr="00CF15D8" w:rsidRDefault="00CF15D8" w:rsidP="00CF15D8">
      <w:pPr>
        <w:bidi/>
        <w:spacing w:after="200" w:line="276" w:lineRule="auto"/>
        <w:rPr>
          <w:rFonts w:ascii="Tahoma" w:eastAsia="Calibri" w:hAnsi="Tahoma" w:cs="David"/>
          <w:sz w:val="24"/>
          <w:szCs w:val="24"/>
          <w:rtl/>
          <w:lang w:bidi="he-IL"/>
        </w:rPr>
      </w:pPr>
    </w:p>
    <w:p w:rsidR="00CF15D8" w:rsidRPr="00CF15D8" w:rsidRDefault="00CF15D8" w:rsidP="00CF15D8">
      <w:pPr>
        <w:bidi/>
        <w:spacing w:after="200" w:line="276" w:lineRule="auto"/>
        <w:ind w:firstLine="720"/>
        <w:rPr>
          <w:rFonts w:ascii="Tahoma" w:eastAsia="Calibri" w:hAnsi="Tahoma" w:cs="David"/>
          <w:sz w:val="24"/>
          <w:szCs w:val="24"/>
          <w:rtl/>
          <w:lang w:bidi="he-IL"/>
        </w:rPr>
      </w:pPr>
      <w:r w:rsidRPr="00CF15D8">
        <w:rPr>
          <w:rFonts w:ascii="Tahoma" w:eastAsia="Calibri" w:hAnsi="Tahoma" w:cs="David" w:hint="cs"/>
          <w:sz w:val="24"/>
          <w:szCs w:val="24"/>
          <w:rtl/>
          <w:lang w:bidi="he-IL"/>
        </w:rPr>
        <w:t xml:space="preserve">נציג אגף הביטחון ידאג לתאם, איתך ועם הלשכה, את הליווי במועד הגעתך ללשכה. </w:t>
      </w:r>
    </w:p>
    <w:p w:rsidR="00CF15D8" w:rsidRPr="00CF15D8" w:rsidRDefault="00CF15D8" w:rsidP="00CF15D8">
      <w:pPr>
        <w:bidi/>
        <w:spacing w:after="200" w:line="276" w:lineRule="auto"/>
        <w:rPr>
          <w:rFonts w:ascii="Tahoma" w:eastAsia="Calibri" w:hAnsi="Tahoma" w:cs="David"/>
          <w:b/>
          <w:bCs/>
          <w:sz w:val="24"/>
          <w:szCs w:val="24"/>
          <w:u w:val="single"/>
          <w:rtl/>
          <w:lang w:bidi="he-IL"/>
        </w:rPr>
      </w:pPr>
      <w:r w:rsidRPr="00CF15D8">
        <w:rPr>
          <w:rFonts w:ascii="Tahoma" w:eastAsia="Calibri" w:hAnsi="Tahoma" w:cs="David" w:hint="cs"/>
          <w:sz w:val="24"/>
          <w:szCs w:val="24"/>
          <w:rtl/>
          <w:lang w:bidi="he-IL"/>
        </w:rPr>
        <w:t xml:space="preserve">   </w:t>
      </w:r>
      <w:r w:rsidRPr="00CF15D8">
        <w:rPr>
          <w:rFonts w:ascii="Tahoma" w:eastAsia="Calibri" w:hAnsi="Tahoma" w:cs="David"/>
          <w:sz w:val="24"/>
          <w:szCs w:val="24"/>
          <w:rtl/>
          <w:lang w:bidi="he-IL"/>
        </w:rPr>
        <w:t xml:space="preserve"> </w:t>
      </w:r>
    </w:p>
    <w:p w:rsidR="00CF15D8" w:rsidRPr="00CF15D8" w:rsidRDefault="00CF15D8" w:rsidP="00FF1D96">
      <w:pPr>
        <w:bidi/>
        <w:spacing w:after="200" w:line="276" w:lineRule="auto"/>
        <w:ind w:firstLine="720"/>
        <w:rPr>
          <w:rFonts w:ascii="Tahoma" w:eastAsia="Calibri" w:hAnsi="Tahoma" w:cs="David"/>
          <w:sz w:val="24"/>
          <w:szCs w:val="24"/>
          <w:rtl/>
          <w:lang w:bidi="he-IL"/>
        </w:rPr>
      </w:pPr>
      <w:r w:rsidRPr="00CF15D8">
        <w:rPr>
          <w:rFonts w:ascii="Tahoma" w:eastAsia="Calibri" w:hAnsi="Tahoma" w:cs="David" w:hint="cs"/>
          <w:b/>
          <w:bCs/>
          <w:sz w:val="24"/>
          <w:szCs w:val="24"/>
          <w:u w:val="single"/>
          <w:rtl/>
          <w:lang w:bidi="he-IL"/>
        </w:rPr>
        <w:t>למידע נוסף</w:t>
      </w:r>
      <w:r w:rsidRPr="00CF15D8">
        <w:rPr>
          <w:rFonts w:ascii="Tahoma" w:eastAsia="Calibri" w:hAnsi="Tahoma" w:cs="David" w:hint="cs"/>
          <w:b/>
          <w:bCs/>
          <w:sz w:val="24"/>
          <w:szCs w:val="24"/>
          <w:rtl/>
          <w:lang w:bidi="he-IL"/>
        </w:rPr>
        <w:t xml:space="preserve"> </w:t>
      </w:r>
      <w:r w:rsidRPr="00CF15D8">
        <w:rPr>
          <w:rFonts w:ascii="Tahoma" w:eastAsia="Calibri" w:hAnsi="Tahoma" w:cs="David"/>
          <w:b/>
          <w:bCs/>
          <w:sz w:val="24"/>
          <w:szCs w:val="24"/>
          <w:rtl/>
          <w:lang w:bidi="he-IL"/>
        </w:rPr>
        <w:t>–</w:t>
      </w:r>
      <w:r w:rsidRPr="00CF15D8">
        <w:rPr>
          <w:rFonts w:ascii="Tahoma" w:eastAsia="Calibri" w:hAnsi="Tahoma" w:cs="David" w:hint="cs"/>
          <w:b/>
          <w:bCs/>
          <w:sz w:val="24"/>
          <w:szCs w:val="24"/>
          <w:rtl/>
          <w:lang w:bidi="he-IL"/>
        </w:rPr>
        <w:t xml:space="preserve"> </w:t>
      </w:r>
      <w:r w:rsidR="00FF1D96">
        <w:rPr>
          <w:rFonts w:ascii="Tahoma" w:eastAsia="Calibri" w:hAnsi="Tahoma" w:cs="David" w:hint="cs"/>
          <w:b/>
          <w:bCs/>
          <w:sz w:val="24"/>
          <w:szCs w:val="24"/>
          <w:rtl/>
          <w:lang w:bidi="he-IL"/>
        </w:rPr>
        <w:t>עמותת "רוח נשית"</w:t>
      </w:r>
      <w:r w:rsidR="00FF1D96">
        <w:rPr>
          <w:rFonts w:ascii="Tahoma" w:eastAsia="Calibri" w:hAnsi="Tahoma" w:cs="David"/>
          <w:color w:val="0000FF"/>
          <w:sz w:val="24"/>
          <w:szCs w:val="24"/>
          <w:u w:val="single"/>
          <w:lang w:bidi="he-IL"/>
        </w:rPr>
        <w:t>www.ruach-nashit.org.il</w:t>
      </w:r>
      <w:r w:rsidRPr="00CF15D8">
        <w:rPr>
          <w:rFonts w:ascii="Tahoma" w:eastAsia="Calibri" w:hAnsi="Tahoma" w:cs="David" w:hint="cs"/>
          <w:sz w:val="24"/>
          <w:szCs w:val="24"/>
          <w:rtl/>
          <w:lang w:bidi="he-IL"/>
        </w:rPr>
        <w:t>, 072-2507770</w:t>
      </w:r>
    </w:p>
    <w:p w:rsidR="00CF15D8" w:rsidRDefault="00CF15D8" w:rsidP="00CF15D8">
      <w:pPr>
        <w:tabs>
          <w:tab w:val="left" w:pos="1046"/>
          <w:tab w:val="center" w:pos="4680"/>
        </w:tabs>
        <w:bidi/>
        <w:rPr>
          <w:rFonts w:ascii="Tahoma" w:hAnsi="Tahoma" w:cs="Tahoma"/>
          <w:b/>
          <w:bCs/>
          <w:sz w:val="28"/>
          <w:szCs w:val="28"/>
          <w:rtl/>
          <w:lang w:bidi="he-IL"/>
        </w:rPr>
      </w:pPr>
    </w:p>
    <w:p w:rsidR="00CF15D8" w:rsidRDefault="00CF15D8" w:rsidP="00CF15D8">
      <w:pPr>
        <w:tabs>
          <w:tab w:val="left" w:pos="1046"/>
          <w:tab w:val="center" w:pos="4680"/>
        </w:tabs>
        <w:bidi/>
        <w:rPr>
          <w:rFonts w:ascii="Tahoma" w:hAnsi="Tahoma" w:cs="Tahoma"/>
          <w:b/>
          <w:bCs/>
          <w:sz w:val="28"/>
          <w:szCs w:val="28"/>
          <w:rtl/>
          <w:lang w:bidi="he-IL"/>
        </w:rPr>
      </w:pPr>
    </w:p>
    <w:p w:rsidR="00CF15D8" w:rsidRDefault="00CF15D8" w:rsidP="00CF15D8">
      <w:pPr>
        <w:tabs>
          <w:tab w:val="left" w:pos="1046"/>
          <w:tab w:val="center" w:pos="4680"/>
        </w:tabs>
        <w:bidi/>
        <w:rPr>
          <w:rFonts w:ascii="Tahoma" w:hAnsi="Tahoma" w:cs="Tahoma"/>
          <w:b/>
          <w:bCs/>
          <w:sz w:val="28"/>
          <w:szCs w:val="28"/>
          <w:rtl/>
          <w:lang w:bidi="he-IL"/>
        </w:rPr>
      </w:pPr>
    </w:p>
    <w:p w:rsidR="00CF15D8" w:rsidRDefault="00CF15D8" w:rsidP="00CF15D8">
      <w:pPr>
        <w:tabs>
          <w:tab w:val="left" w:pos="1046"/>
          <w:tab w:val="center" w:pos="4680"/>
        </w:tabs>
        <w:bidi/>
        <w:rPr>
          <w:rFonts w:ascii="Tahoma" w:hAnsi="Tahoma" w:cs="Tahoma"/>
          <w:b/>
          <w:bCs/>
          <w:sz w:val="28"/>
          <w:szCs w:val="28"/>
          <w:rtl/>
          <w:lang w:bidi="he-IL"/>
        </w:rPr>
      </w:pPr>
    </w:p>
    <w:p w:rsidR="00CF15D8" w:rsidRDefault="00CF15D8" w:rsidP="00CF15D8">
      <w:pPr>
        <w:tabs>
          <w:tab w:val="left" w:pos="1046"/>
          <w:tab w:val="center" w:pos="4680"/>
        </w:tabs>
        <w:bidi/>
        <w:rPr>
          <w:rFonts w:ascii="Tahoma" w:hAnsi="Tahoma" w:cs="Tahoma"/>
          <w:b/>
          <w:bCs/>
          <w:sz w:val="28"/>
          <w:szCs w:val="28"/>
          <w:rtl/>
          <w:lang w:bidi="he-IL"/>
        </w:rPr>
      </w:pPr>
    </w:p>
    <w:p w:rsidR="00CF15D8" w:rsidRDefault="00CF15D8" w:rsidP="00CF15D8">
      <w:pPr>
        <w:tabs>
          <w:tab w:val="left" w:pos="1046"/>
          <w:tab w:val="center" w:pos="4680"/>
        </w:tabs>
        <w:bidi/>
        <w:rPr>
          <w:rFonts w:ascii="Tahoma" w:hAnsi="Tahoma" w:cs="Tahoma"/>
          <w:b/>
          <w:bCs/>
          <w:sz w:val="28"/>
          <w:szCs w:val="28"/>
          <w:rtl/>
          <w:lang w:bidi="he-IL"/>
        </w:rPr>
      </w:pPr>
    </w:p>
    <w:p w:rsidR="00CF15D8" w:rsidRDefault="00CF15D8" w:rsidP="00CF15D8">
      <w:pPr>
        <w:tabs>
          <w:tab w:val="left" w:pos="1046"/>
          <w:tab w:val="center" w:pos="4680"/>
        </w:tabs>
        <w:bidi/>
        <w:rPr>
          <w:rFonts w:ascii="Tahoma" w:hAnsi="Tahoma" w:cs="Tahoma"/>
          <w:b/>
          <w:bCs/>
          <w:sz w:val="28"/>
          <w:szCs w:val="28"/>
          <w:rtl/>
          <w:lang w:bidi="he-IL"/>
        </w:rPr>
      </w:pPr>
    </w:p>
    <w:p w:rsidR="00452CD3" w:rsidRDefault="00452CD3" w:rsidP="00452CD3">
      <w:pPr>
        <w:tabs>
          <w:tab w:val="left" w:pos="1046"/>
          <w:tab w:val="center" w:pos="4680"/>
        </w:tabs>
        <w:bidi/>
        <w:rPr>
          <w:rFonts w:ascii="Tahoma" w:hAnsi="Tahoma" w:cs="Tahoma"/>
          <w:b/>
          <w:bCs/>
          <w:sz w:val="28"/>
          <w:szCs w:val="28"/>
          <w:rtl/>
          <w:lang w:bidi="he-IL"/>
        </w:rPr>
      </w:pPr>
    </w:p>
    <w:p w:rsidR="00CF15D8" w:rsidRDefault="00CF15D8" w:rsidP="00CF15D8">
      <w:pPr>
        <w:jc w:val="center"/>
        <w:rPr>
          <w:rFonts w:ascii="Tahoma" w:eastAsia="Calibri" w:hAnsi="Tahoma" w:cs="David"/>
          <w:b/>
          <w:bCs/>
          <w:sz w:val="32"/>
          <w:szCs w:val="32"/>
          <w:lang w:bidi="he-IL"/>
        </w:rPr>
      </w:pPr>
      <w:r>
        <w:rPr>
          <w:rFonts w:ascii="Tahoma" w:hAnsi="Tahoma" w:cs="Tahoma"/>
          <w:b/>
          <w:bCs/>
          <w:sz w:val="28"/>
          <w:szCs w:val="28"/>
          <w:rtl/>
          <w:lang w:bidi="he-IL"/>
        </w:rPr>
        <w:tab/>
      </w:r>
      <w:r w:rsidRPr="00CF15D8">
        <w:rPr>
          <w:rFonts w:ascii="Tahoma" w:eastAsia="Calibri" w:hAnsi="Tahoma" w:cs="Arial" w:hint="cs"/>
          <w:b/>
          <w:bCs/>
          <w:sz w:val="32"/>
          <w:szCs w:val="32"/>
          <w:rtl/>
        </w:rPr>
        <w:t xml:space="preserve">مرافقة ضابط أمان لجلسات دائرة الإجراء </w:t>
      </w:r>
      <w:r w:rsidRPr="00CF15D8">
        <w:rPr>
          <w:rFonts w:ascii="Tahoma" w:eastAsia="Calibri" w:hAnsi="Tahoma" w:cs="Arial"/>
          <w:b/>
          <w:bCs/>
          <w:sz w:val="32"/>
          <w:szCs w:val="32"/>
          <w:rtl/>
        </w:rPr>
        <w:t>–</w:t>
      </w:r>
      <w:r w:rsidRPr="00CF15D8">
        <w:rPr>
          <w:rFonts w:ascii="Tahoma" w:eastAsia="Calibri" w:hAnsi="Tahoma" w:cs="Arial" w:hint="cs"/>
          <w:b/>
          <w:bCs/>
          <w:sz w:val="32"/>
          <w:szCs w:val="32"/>
          <w:rtl/>
        </w:rPr>
        <w:t xml:space="preserve"> للنساء ضحايا العنف الأُسري</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CF15D8">
      <w:pPr>
        <w:bidi/>
        <w:spacing w:after="200" w:line="276" w:lineRule="auto"/>
        <w:ind w:firstLine="720"/>
        <w:rPr>
          <w:rFonts w:ascii="Tahoma" w:eastAsia="Calibri" w:hAnsi="Tahoma" w:cs="David"/>
          <w:b/>
          <w:bCs/>
          <w:sz w:val="24"/>
          <w:szCs w:val="24"/>
          <w:u w:val="single"/>
          <w:rtl/>
          <w:lang w:bidi="he-IL"/>
        </w:rPr>
      </w:pPr>
      <w:r w:rsidRPr="00CF15D8">
        <w:rPr>
          <w:rFonts w:ascii="Tahoma" w:eastAsia="Calibri" w:hAnsi="Tahoma" w:cs="Arial" w:hint="cs"/>
          <w:b/>
          <w:bCs/>
          <w:sz w:val="24"/>
          <w:szCs w:val="24"/>
          <w:u w:val="single"/>
          <w:rtl/>
        </w:rPr>
        <w:t>ما هو هذا الإجراء؟</w:t>
      </w:r>
    </w:p>
    <w:p w:rsidR="00CF15D8" w:rsidRPr="00CF15D8" w:rsidRDefault="00CF15D8" w:rsidP="00CF15D8">
      <w:pPr>
        <w:bidi/>
        <w:spacing w:after="200" w:line="276" w:lineRule="auto"/>
        <w:ind w:left="720"/>
        <w:rPr>
          <w:rFonts w:ascii="Tahoma" w:eastAsia="Calibri" w:hAnsi="Tahoma" w:cs="David"/>
          <w:sz w:val="24"/>
          <w:szCs w:val="24"/>
          <w:rtl/>
          <w:lang w:bidi="he-IL"/>
        </w:rPr>
      </w:pPr>
      <w:r w:rsidRPr="00CF15D8">
        <w:rPr>
          <w:rFonts w:ascii="Tahoma" w:eastAsia="Calibri" w:hAnsi="Tahoma" w:cs="Arial" w:hint="cs"/>
          <w:sz w:val="24"/>
          <w:szCs w:val="24"/>
          <w:rtl/>
        </w:rPr>
        <w:t>إنّه إجراء يتيح للنساء ضحايا العنف، اللواتي تخشين الحضور لمكاتب دائرة الإجراء خوفاً من التعرض للتنكيل والتهديد من جانب الزوج السابق أو أقارب آخرين، يتيح لهن الحصول على المرافقة بغية الوصول للجلسة، أثناء الجلسة وفي المغادرة إلى البيت عند انتهاء الجلسة.</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CF15D8">
      <w:pPr>
        <w:bidi/>
        <w:spacing w:after="200" w:line="276" w:lineRule="auto"/>
        <w:ind w:firstLine="720"/>
        <w:rPr>
          <w:rFonts w:ascii="Tahoma" w:eastAsia="Calibri" w:hAnsi="Tahoma" w:cs="David"/>
          <w:b/>
          <w:bCs/>
          <w:sz w:val="24"/>
          <w:szCs w:val="24"/>
          <w:u w:val="single"/>
          <w:rtl/>
          <w:lang w:bidi="he-IL"/>
        </w:rPr>
      </w:pPr>
      <w:r w:rsidRPr="00CF15D8">
        <w:rPr>
          <w:rFonts w:ascii="Tahoma" w:eastAsia="Calibri" w:hAnsi="Tahoma" w:cs="Arial" w:hint="cs"/>
          <w:b/>
          <w:bCs/>
          <w:sz w:val="24"/>
          <w:szCs w:val="24"/>
          <w:u w:val="single"/>
          <w:rtl/>
        </w:rPr>
        <w:t>كيف تجري المرافقة؟</w:t>
      </w:r>
    </w:p>
    <w:p w:rsidR="00CF15D8" w:rsidRPr="00CF15D8" w:rsidRDefault="00CF15D8" w:rsidP="00CF15D8">
      <w:pPr>
        <w:bidi/>
        <w:spacing w:after="200" w:line="276" w:lineRule="auto"/>
        <w:ind w:left="720"/>
        <w:rPr>
          <w:rFonts w:ascii="Tahoma" w:eastAsia="Calibri" w:hAnsi="Tahoma" w:cs="David"/>
          <w:sz w:val="24"/>
          <w:szCs w:val="24"/>
          <w:rtl/>
          <w:lang w:bidi="he-IL"/>
        </w:rPr>
      </w:pPr>
      <w:r w:rsidRPr="00CF15D8">
        <w:rPr>
          <w:rFonts w:ascii="Tahoma" w:eastAsia="Calibri" w:hAnsi="Tahoma" w:cs="Arial" w:hint="cs"/>
          <w:sz w:val="24"/>
          <w:szCs w:val="24"/>
          <w:rtl/>
        </w:rPr>
        <w:t>بعد التنسيق المسبق، يقوم أحد الحراس بملاقاتك خارج مكتب دائرة الإجراء، في المكان المريح لكِ. ثمّ يرافقك حتى دخولك المكتب ويبقى إلى جانبك طيلة مكوثك هناك. بعد ذلك، يرافقك في عودتك لأي مكان تختارين. بحال كان عليك حضور جلسة أمام مسجّل دائرة الإجراء، سيهتم القسم الأمني وقبل الجلسة بأن تنتظري في مكان خاضع للحراسة، لا يستطيع آخرون دخوله. وأثناء الجلسة عند المسجّل، يجلس الحارس بجانبك.</w:t>
      </w:r>
      <w:r w:rsidRPr="00CF15D8">
        <w:rPr>
          <w:rFonts w:ascii="Tahoma" w:eastAsia="Calibri" w:hAnsi="Tahoma" w:cs="David" w:hint="cs"/>
          <w:sz w:val="24"/>
          <w:szCs w:val="24"/>
          <w:rtl/>
          <w:lang w:bidi="he-IL"/>
        </w:rPr>
        <w:t xml:space="preserve"> </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CF15D8">
      <w:pPr>
        <w:bidi/>
        <w:spacing w:after="200" w:line="276" w:lineRule="auto"/>
        <w:ind w:firstLine="720"/>
        <w:rPr>
          <w:rFonts w:ascii="Tahoma" w:eastAsia="Calibri" w:hAnsi="Tahoma" w:cs="David"/>
          <w:b/>
          <w:bCs/>
          <w:sz w:val="24"/>
          <w:szCs w:val="24"/>
          <w:u w:val="single"/>
          <w:rtl/>
          <w:lang w:bidi="he-IL"/>
        </w:rPr>
      </w:pPr>
      <w:r w:rsidRPr="00CF15D8">
        <w:rPr>
          <w:rFonts w:ascii="Tahoma" w:eastAsia="Calibri" w:hAnsi="Tahoma" w:cs="Arial" w:hint="cs"/>
          <w:b/>
          <w:bCs/>
          <w:sz w:val="24"/>
          <w:szCs w:val="24"/>
          <w:u w:val="single"/>
          <w:rtl/>
        </w:rPr>
        <w:t>كيف نتوجه لطلب المرافقة؟</w:t>
      </w:r>
      <w:r w:rsidRPr="00CF15D8">
        <w:rPr>
          <w:rFonts w:ascii="Tahoma" w:eastAsia="Calibri" w:hAnsi="Tahoma" w:cs="David" w:hint="cs"/>
          <w:b/>
          <w:bCs/>
          <w:sz w:val="24"/>
          <w:szCs w:val="24"/>
          <w:u w:val="single"/>
          <w:rtl/>
          <w:lang w:bidi="he-IL"/>
        </w:rPr>
        <w:t xml:space="preserve"> </w:t>
      </w:r>
    </w:p>
    <w:p w:rsidR="00CF15D8" w:rsidRPr="00CF15D8" w:rsidRDefault="00CF15D8" w:rsidP="00CF15D8">
      <w:pPr>
        <w:bidi/>
        <w:spacing w:after="200" w:line="276" w:lineRule="auto"/>
        <w:ind w:firstLine="720"/>
        <w:rPr>
          <w:rFonts w:ascii="Tahoma" w:eastAsia="Calibri" w:hAnsi="Tahoma" w:cs="David"/>
          <w:sz w:val="24"/>
          <w:szCs w:val="24"/>
          <w:rtl/>
          <w:lang w:bidi="he-IL"/>
        </w:rPr>
      </w:pPr>
      <w:r w:rsidRPr="00CF15D8">
        <w:rPr>
          <w:rFonts w:ascii="Tahoma" w:eastAsia="Calibri" w:hAnsi="Tahoma" w:cs="Arial" w:hint="cs"/>
          <w:sz w:val="24"/>
          <w:szCs w:val="24"/>
          <w:rtl/>
        </w:rPr>
        <w:t>عليكِ قبل موعد الحضور لمكتب دائرة الإجراء، الإتصال للقسم الأمني في سلطة تطبيق القانون والجباية، لأحد الأطراف التالية:</w:t>
      </w:r>
    </w:p>
    <w:p w:rsidR="00CF15D8" w:rsidRPr="00CF15D8" w:rsidRDefault="00CF15D8" w:rsidP="00CF15D8">
      <w:pPr>
        <w:numPr>
          <w:ilvl w:val="0"/>
          <w:numId w:val="4"/>
        </w:numPr>
        <w:bidi/>
        <w:spacing w:after="200" w:line="276" w:lineRule="auto"/>
        <w:contextualSpacing/>
        <w:rPr>
          <w:rFonts w:ascii="Tahoma" w:eastAsia="Calibri" w:hAnsi="Tahoma" w:cs="David"/>
          <w:sz w:val="24"/>
          <w:szCs w:val="24"/>
          <w:lang w:bidi="he-IL"/>
        </w:rPr>
      </w:pPr>
      <w:r w:rsidRPr="00CF15D8">
        <w:rPr>
          <w:rFonts w:ascii="Tahoma" w:eastAsia="Calibri" w:hAnsi="Tahoma" w:cs="Arial" w:hint="cs"/>
          <w:sz w:val="24"/>
          <w:szCs w:val="24"/>
          <w:rtl/>
        </w:rPr>
        <w:t>ضابط أمان سلطة تطبيق القانون والجباية</w:t>
      </w:r>
      <w:r w:rsidRPr="00CF15D8">
        <w:rPr>
          <w:rFonts w:ascii="Tahoma" w:eastAsia="Calibri" w:hAnsi="Tahoma" w:cs="David" w:hint="cs"/>
          <w:sz w:val="24"/>
          <w:szCs w:val="24"/>
          <w:rtl/>
          <w:lang w:bidi="he-IL"/>
        </w:rPr>
        <w:t xml:space="preserve">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054-4716946</w:t>
      </w:r>
    </w:p>
    <w:p w:rsidR="00CF15D8" w:rsidRPr="00CF15D8" w:rsidRDefault="00CF15D8" w:rsidP="00CF15D8">
      <w:pPr>
        <w:numPr>
          <w:ilvl w:val="0"/>
          <w:numId w:val="4"/>
        </w:numPr>
        <w:bidi/>
        <w:spacing w:after="200" w:line="276" w:lineRule="auto"/>
        <w:contextualSpacing/>
        <w:rPr>
          <w:rFonts w:ascii="Tahoma" w:eastAsia="Calibri" w:hAnsi="Tahoma" w:cs="David"/>
          <w:sz w:val="24"/>
          <w:szCs w:val="24"/>
          <w:lang w:bidi="he-IL"/>
        </w:rPr>
      </w:pPr>
      <w:r w:rsidRPr="00CF15D8">
        <w:rPr>
          <w:rFonts w:ascii="Tahoma" w:eastAsia="Calibri" w:hAnsi="Tahoma" w:cs="Arial" w:hint="cs"/>
          <w:sz w:val="24"/>
          <w:szCs w:val="24"/>
          <w:rtl/>
        </w:rPr>
        <w:t>ضابط أمان لواء حيفا والشمال</w:t>
      </w:r>
      <w:r w:rsidRPr="00CF15D8">
        <w:rPr>
          <w:rFonts w:ascii="Tahoma" w:eastAsia="Calibri" w:hAnsi="Tahoma" w:cs="David" w:hint="cs"/>
          <w:sz w:val="24"/>
          <w:szCs w:val="24"/>
          <w:rtl/>
          <w:lang w:bidi="he-IL"/>
        </w:rPr>
        <w:t xml:space="preserve">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050-6255689</w:t>
      </w:r>
      <w:r w:rsidRPr="00CF15D8">
        <w:rPr>
          <w:rFonts w:ascii="Tahoma" w:eastAsia="Calibri" w:hAnsi="Tahoma" w:cs="Arial" w:hint="cs"/>
          <w:sz w:val="24"/>
          <w:szCs w:val="24"/>
          <w:rtl/>
        </w:rPr>
        <w:t>،</w:t>
      </w:r>
      <w:r w:rsidRPr="00CF15D8">
        <w:rPr>
          <w:rFonts w:ascii="Tahoma" w:eastAsia="Calibri" w:hAnsi="Tahoma" w:cs="David" w:hint="cs"/>
          <w:sz w:val="24"/>
          <w:szCs w:val="24"/>
          <w:rtl/>
          <w:lang w:bidi="he-IL"/>
        </w:rPr>
        <w:t xml:space="preserve"> 04-6774026 </w:t>
      </w:r>
    </w:p>
    <w:p w:rsidR="00CF15D8" w:rsidRPr="00CF15D8" w:rsidRDefault="00CF15D8" w:rsidP="00CF15D8">
      <w:pPr>
        <w:numPr>
          <w:ilvl w:val="0"/>
          <w:numId w:val="4"/>
        </w:numPr>
        <w:bidi/>
        <w:spacing w:after="200" w:line="276" w:lineRule="auto"/>
        <w:contextualSpacing/>
        <w:rPr>
          <w:rFonts w:ascii="Tahoma" w:eastAsia="Calibri" w:hAnsi="Tahoma" w:cs="David"/>
          <w:sz w:val="24"/>
          <w:szCs w:val="24"/>
          <w:lang w:bidi="he-IL"/>
        </w:rPr>
      </w:pPr>
      <w:r w:rsidRPr="00CF15D8">
        <w:rPr>
          <w:rFonts w:ascii="Tahoma" w:eastAsia="Calibri" w:hAnsi="Tahoma" w:cs="Arial" w:hint="cs"/>
          <w:sz w:val="24"/>
          <w:szCs w:val="24"/>
          <w:rtl/>
        </w:rPr>
        <w:t>ضابط أمان لواء تل أبيب والمركز</w:t>
      </w:r>
      <w:r w:rsidRPr="00CF15D8">
        <w:rPr>
          <w:rFonts w:ascii="Tahoma" w:eastAsia="Calibri" w:hAnsi="Tahoma" w:cs="David" w:hint="cs"/>
          <w:sz w:val="24"/>
          <w:szCs w:val="24"/>
          <w:rtl/>
          <w:lang w:bidi="he-IL"/>
        </w:rPr>
        <w:t xml:space="preserve">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050-5070970</w:t>
      </w:r>
      <w:r w:rsidRPr="00CF15D8">
        <w:rPr>
          <w:rFonts w:ascii="Tahoma" w:eastAsia="Calibri" w:hAnsi="Tahoma" w:cs="Arial" w:hint="cs"/>
          <w:sz w:val="24"/>
          <w:szCs w:val="24"/>
          <w:rtl/>
        </w:rPr>
        <w:t>،</w:t>
      </w:r>
      <w:r w:rsidRPr="00CF15D8">
        <w:rPr>
          <w:rFonts w:ascii="Tahoma" w:eastAsia="Calibri" w:hAnsi="Tahoma" w:cs="David" w:hint="cs"/>
          <w:sz w:val="24"/>
          <w:szCs w:val="24"/>
          <w:rtl/>
          <w:lang w:bidi="he-IL"/>
        </w:rPr>
        <w:t xml:space="preserve"> 09-9537388</w:t>
      </w:r>
    </w:p>
    <w:p w:rsidR="00CF15D8" w:rsidRPr="00CF15D8" w:rsidRDefault="00CF15D8" w:rsidP="00CF15D8">
      <w:pPr>
        <w:numPr>
          <w:ilvl w:val="0"/>
          <w:numId w:val="4"/>
        </w:numPr>
        <w:bidi/>
        <w:spacing w:after="200" w:line="276" w:lineRule="auto"/>
        <w:contextualSpacing/>
        <w:rPr>
          <w:rFonts w:ascii="Tahoma" w:eastAsia="Calibri" w:hAnsi="Tahoma" w:cs="David"/>
          <w:sz w:val="24"/>
          <w:szCs w:val="24"/>
          <w:lang w:bidi="he-IL"/>
        </w:rPr>
      </w:pPr>
      <w:r w:rsidRPr="00CF15D8">
        <w:rPr>
          <w:rFonts w:ascii="Tahoma" w:eastAsia="Calibri" w:hAnsi="Tahoma" w:cs="Arial" w:hint="cs"/>
          <w:sz w:val="24"/>
          <w:szCs w:val="24"/>
          <w:rtl/>
        </w:rPr>
        <w:t>ضابط أمان لواء القدس والجنوب</w:t>
      </w:r>
      <w:r w:rsidRPr="00CF15D8">
        <w:rPr>
          <w:rFonts w:ascii="Tahoma" w:eastAsia="Calibri" w:hAnsi="Tahoma" w:cs="David" w:hint="cs"/>
          <w:sz w:val="24"/>
          <w:szCs w:val="24"/>
          <w:rtl/>
          <w:lang w:bidi="he-IL"/>
        </w:rPr>
        <w:t xml:space="preserve"> </w:t>
      </w:r>
      <w:r w:rsidRPr="00CF15D8">
        <w:rPr>
          <w:rFonts w:ascii="Tahoma" w:eastAsia="Calibri" w:hAnsi="Tahoma" w:cs="David"/>
          <w:sz w:val="24"/>
          <w:szCs w:val="24"/>
          <w:rtl/>
          <w:lang w:bidi="he-IL"/>
        </w:rPr>
        <w:t>–</w:t>
      </w:r>
      <w:r w:rsidRPr="00CF15D8">
        <w:rPr>
          <w:rFonts w:ascii="Tahoma" w:eastAsia="Calibri" w:hAnsi="Tahoma" w:cs="David" w:hint="cs"/>
          <w:sz w:val="24"/>
          <w:szCs w:val="24"/>
          <w:rtl/>
          <w:lang w:bidi="he-IL"/>
        </w:rPr>
        <w:t xml:space="preserve"> 052-3570341 </w:t>
      </w:r>
    </w:p>
    <w:p w:rsidR="00CF15D8" w:rsidRPr="00CF15D8" w:rsidRDefault="00CF15D8" w:rsidP="00CF15D8">
      <w:pPr>
        <w:bidi/>
        <w:spacing w:after="200" w:line="276" w:lineRule="auto"/>
        <w:rPr>
          <w:rFonts w:ascii="Tahoma" w:eastAsia="Calibri" w:hAnsi="Tahoma" w:cs="David"/>
          <w:sz w:val="24"/>
          <w:szCs w:val="24"/>
          <w:rtl/>
          <w:lang w:bidi="he-IL"/>
        </w:rPr>
      </w:pPr>
    </w:p>
    <w:p w:rsidR="00CF15D8" w:rsidRPr="00CF15D8" w:rsidRDefault="00CF15D8" w:rsidP="00CF15D8">
      <w:pPr>
        <w:bidi/>
        <w:spacing w:after="200" w:line="276" w:lineRule="auto"/>
        <w:ind w:firstLine="720"/>
        <w:rPr>
          <w:rFonts w:ascii="Tahoma" w:eastAsia="Calibri" w:hAnsi="Tahoma" w:cs="David"/>
          <w:sz w:val="24"/>
          <w:szCs w:val="24"/>
          <w:rtl/>
          <w:lang w:bidi="he-IL"/>
        </w:rPr>
      </w:pPr>
      <w:r w:rsidRPr="00CF15D8">
        <w:rPr>
          <w:rFonts w:ascii="Tahoma" w:eastAsia="Calibri" w:hAnsi="Tahoma" w:cs="Arial" w:hint="cs"/>
          <w:sz w:val="24"/>
          <w:szCs w:val="24"/>
          <w:rtl/>
        </w:rPr>
        <w:t>سيهتم مندوب القسم الأمني بالتنسيق بينك وبين مكتب الدائرة، حول مرافقتك في يوم حضورك إلى هناك.</w:t>
      </w:r>
    </w:p>
    <w:p w:rsidR="00CF15D8" w:rsidRPr="00CF15D8" w:rsidRDefault="00CF15D8" w:rsidP="00CF15D8">
      <w:pPr>
        <w:bidi/>
        <w:spacing w:after="200" w:line="276" w:lineRule="auto"/>
        <w:rPr>
          <w:rFonts w:ascii="Tahoma" w:eastAsia="Calibri" w:hAnsi="Tahoma" w:cs="David"/>
          <w:sz w:val="24"/>
          <w:szCs w:val="24"/>
          <w:rtl/>
          <w:lang w:bidi="he-IL"/>
        </w:rPr>
      </w:pPr>
      <w:r w:rsidRPr="00CF15D8">
        <w:rPr>
          <w:rFonts w:ascii="Tahoma" w:eastAsia="Calibri" w:hAnsi="Tahoma" w:cs="David" w:hint="cs"/>
          <w:sz w:val="24"/>
          <w:szCs w:val="24"/>
          <w:rtl/>
          <w:lang w:bidi="he-IL"/>
        </w:rPr>
        <w:t xml:space="preserve">   </w:t>
      </w:r>
      <w:r w:rsidRPr="00CF15D8">
        <w:rPr>
          <w:rFonts w:ascii="Tahoma" w:eastAsia="Calibri" w:hAnsi="Tahoma" w:cs="David"/>
          <w:sz w:val="24"/>
          <w:szCs w:val="24"/>
          <w:rtl/>
          <w:lang w:bidi="he-IL"/>
        </w:rPr>
        <w:t xml:space="preserve"> </w:t>
      </w:r>
    </w:p>
    <w:p w:rsidR="00CF15D8" w:rsidRPr="00CF15D8" w:rsidRDefault="00CF15D8" w:rsidP="00CF15D8">
      <w:pPr>
        <w:bidi/>
        <w:spacing w:after="200" w:line="276" w:lineRule="auto"/>
        <w:rPr>
          <w:rFonts w:ascii="Tahoma" w:eastAsia="Calibri" w:hAnsi="Tahoma" w:cs="David"/>
          <w:b/>
          <w:bCs/>
          <w:sz w:val="24"/>
          <w:szCs w:val="24"/>
          <w:u w:val="single"/>
          <w:rtl/>
          <w:lang w:bidi="he-IL"/>
        </w:rPr>
      </w:pPr>
    </w:p>
    <w:p w:rsidR="00CF15D8" w:rsidRPr="00CF15D8" w:rsidRDefault="00CF15D8" w:rsidP="00FF1D96">
      <w:pPr>
        <w:bidi/>
        <w:spacing w:after="200" w:line="276" w:lineRule="auto"/>
        <w:ind w:firstLine="720"/>
        <w:rPr>
          <w:rFonts w:ascii="Tahoma" w:eastAsia="Calibri" w:hAnsi="Tahoma" w:cs="David"/>
          <w:sz w:val="24"/>
          <w:szCs w:val="24"/>
          <w:rtl/>
          <w:lang w:bidi="he-IL"/>
        </w:rPr>
      </w:pPr>
      <w:r w:rsidRPr="00CF15D8">
        <w:rPr>
          <w:rFonts w:ascii="Tahoma" w:eastAsia="Calibri" w:hAnsi="Tahoma" w:cs="Arial" w:hint="cs"/>
          <w:b/>
          <w:bCs/>
          <w:sz w:val="24"/>
          <w:szCs w:val="24"/>
          <w:u w:val="single"/>
          <w:rtl/>
        </w:rPr>
        <w:t>للمزيد من التفاصيل</w:t>
      </w:r>
      <w:r w:rsidRPr="00CF15D8">
        <w:rPr>
          <w:rFonts w:ascii="Tahoma" w:eastAsia="Calibri" w:hAnsi="Tahoma" w:cs="David" w:hint="cs"/>
          <w:b/>
          <w:bCs/>
          <w:sz w:val="24"/>
          <w:szCs w:val="24"/>
          <w:rtl/>
          <w:lang w:bidi="he-IL"/>
        </w:rPr>
        <w:t xml:space="preserve"> </w:t>
      </w:r>
      <w:r w:rsidRPr="00CF15D8">
        <w:rPr>
          <w:rFonts w:ascii="Tahoma" w:eastAsia="Calibri" w:hAnsi="Tahoma" w:cs="David"/>
          <w:b/>
          <w:bCs/>
          <w:sz w:val="24"/>
          <w:szCs w:val="24"/>
          <w:rtl/>
          <w:lang w:bidi="he-IL"/>
        </w:rPr>
        <w:t>–</w:t>
      </w:r>
      <w:r w:rsidRPr="00CF15D8">
        <w:rPr>
          <w:rFonts w:ascii="Tahoma" w:eastAsia="Calibri" w:hAnsi="Tahoma" w:cs="David" w:hint="cs"/>
          <w:b/>
          <w:bCs/>
          <w:sz w:val="24"/>
          <w:szCs w:val="24"/>
          <w:rtl/>
          <w:lang w:bidi="he-IL"/>
        </w:rPr>
        <w:t xml:space="preserve"> </w:t>
      </w:r>
      <w:r w:rsidRPr="00CF15D8">
        <w:rPr>
          <w:rFonts w:ascii="Tahoma" w:eastAsia="Calibri" w:hAnsi="Tahoma" w:cs="Arial" w:hint="cs"/>
          <w:b/>
          <w:bCs/>
          <w:sz w:val="24"/>
          <w:szCs w:val="24"/>
          <w:rtl/>
        </w:rPr>
        <w:t>جمعية "الروح النسائية"،</w:t>
      </w:r>
      <w:r w:rsidRPr="00CF15D8">
        <w:rPr>
          <w:rFonts w:ascii="Tahoma" w:eastAsia="Calibri" w:hAnsi="Tahoma" w:cs="David" w:hint="cs"/>
          <w:b/>
          <w:bCs/>
          <w:sz w:val="24"/>
          <w:szCs w:val="24"/>
          <w:rtl/>
          <w:lang w:bidi="he-IL"/>
        </w:rPr>
        <w:t xml:space="preserve"> </w:t>
      </w:r>
      <w:hyperlink r:id="rId8" w:history="1">
        <w:r w:rsidR="00FF1D96" w:rsidRPr="00320DA8">
          <w:rPr>
            <w:rStyle w:val="Hyperlink"/>
            <w:rFonts w:ascii="Tahoma" w:eastAsia="Calibri" w:hAnsi="Tahoma" w:cs="David"/>
            <w:sz w:val="24"/>
            <w:szCs w:val="24"/>
            <w:lang w:bidi="he-IL"/>
          </w:rPr>
          <w:t>www.ruach-nashit.org.il</w:t>
        </w:r>
      </w:hyperlink>
      <w:r w:rsidRPr="00CF15D8">
        <w:rPr>
          <w:rFonts w:ascii="Tahoma" w:eastAsia="Calibri" w:hAnsi="Tahoma" w:cs="Arial" w:hint="cs"/>
          <w:sz w:val="24"/>
          <w:szCs w:val="24"/>
          <w:rtl/>
        </w:rPr>
        <w:t>،</w:t>
      </w:r>
      <w:r w:rsidRPr="00CF15D8">
        <w:rPr>
          <w:rFonts w:ascii="Tahoma" w:eastAsia="Calibri" w:hAnsi="Tahoma" w:cs="David" w:hint="cs"/>
          <w:sz w:val="24"/>
          <w:szCs w:val="24"/>
          <w:rtl/>
          <w:lang w:bidi="he-IL"/>
        </w:rPr>
        <w:t xml:space="preserve"> 072-2507770</w:t>
      </w:r>
    </w:p>
    <w:p w:rsidR="00CF15D8" w:rsidRPr="00CF15D8" w:rsidRDefault="00CF15D8" w:rsidP="00CF15D8">
      <w:pPr>
        <w:bidi/>
        <w:spacing w:after="200" w:line="276" w:lineRule="auto"/>
        <w:rPr>
          <w:rFonts w:ascii="Tahoma" w:eastAsia="Calibri" w:hAnsi="Tahoma" w:cs="David"/>
          <w:sz w:val="24"/>
          <w:szCs w:val="24"/>
          <w:rtl/>
          <w:lang w:bidi="he-IL"/>
        </w:rPr>
      </w:pPr>
    </w:p>
    <w:p w:rsidR="00CF15D8" w:rsidRDefault="00CF15D8" w:rsidP="00CF15D8">
      <w:pPr>
        <w:tabs>
          <w:tab w:val="left" w:pos="1046"/>
          <w:tab w:val="center" w:pos="4680"/>
        </w:tabs>
        <w:bidi/>
        <w:rPr>
          <w:rFonts w:ascii="Tahoma" w:hAnsi="Tahoma" w:cs="Tahoma"/>
          <w:b/>
          <w:bCs/>
          <w:sz w:val="28"/>
          <w:szCs w:val="28"/>
          <w:rtl/>
          <w:lang w:bidi="he-IL"/>
        </w:rPr>
      </w:pPr>
    </w:p>
    <w:sectPr w:rsidR="00CF15D8" w:rsidSect="00640C8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D0" w:rsidRDefault="00256DD0" w:rsidP="00640C88">
      <w:pPr>
        <w:spacing w:after="0" w:line="240" w:lineRule="auto"/>
      </w:pPr>
      <w:r>
        <w:separator/>
      </w:r>
    </w:p>
  </w:endnote>
  <w:endnote w:type="continuationSeparator" w:id="0">
    <w:p w:rsidR="00256DD0" w:rsidRDefault="00256DD0" w:rsidP="006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B5" w:rsidRPr="00411F91" w:rsidRDefault="00452CD3" w:rsidP="00452CD3">
    <w:pPr>
      <w:spacing w:after="0" w:line="240" w:lineRule="auto"/>
      <w:ind w:left="57" w:right="-142"/>
      <w:jc w:val="center"/>
      <w:rPr>
        <w:rFonts w:ascii="Tahoma" w:hAnsi="Tahoma" w:cs="Tahoma"/>
        <w:sz w:val="12"/>
        <w:szCs w:val="12"/>
        <w:lang w:bidi="he-IL"/>
        <w14:shadow w14:blurRad="50800" w14:dist="38100" w14:dir="2700000" w14:sx="100000" w14:sy="100000" w14:kx="0" w14:ky="0" w14:algn="tl">
          <w14:srgbClr w14:val="000000">
            <w14:alpha w14:val="60000"/>
          </w14:srgbClr>
        </w14:shadow>
      </w:rPr>
    </w:pPr>
    <w:r>
      <w:rPr>
        <w:rFonts w:ascii="Tahoma" w:hAnsi="Tahoma" w:cs="Tahoma"/>
        <w:b/>
        <w:bCs/>
        <w:sz w:val="12"/>
        <w:szCs w:val="12"/>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רוח נשית</w:t>
    </w:r>
    <w:r>
      <w:rPr>
        <w:rFonts w:ascii="Tahoma" w:hAnsi="Tahoma" w:cs="Tahoma" w:hint="cs"/>
        <w:sz w:val="12"/>
        <w:szCs w:val="12"/>
        <w:rtl/>
        <w:lang w:bidi="he-I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עצמאות כלכלית לנשים נפגעות אלימות</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ע</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 xml:space="preserve">ר </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580474658</w:t>
    </w:r>
    <w:r w:rsidR="00CF15D8"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w:t>
    </w:r>
  </w:p>
  <w:p w:rsidR="00B467B5" w:rsidRPr="00411F91" w:rsidRDefault="00452CD3" w:rsidP="00452CD3">
    <w:pPr>
      <w:spacing w:after="0" w:line="240" w:lineRule="auto"/>
      <w:ind w:left="57" w:right="-142"/>
      <w:jc w:val="center"/>
      <w:rPr>
        <w:rFonts w:ascii="Tahoma" w:hAnsi="Tahoma" w:cs="Tahoma"/>
        <w:sz w:val="12"/>
        <w:szCs w:val="12"/>
        <w:lang w:bidi="he-IL"/>
        <w14:shadow w14:blurRad="50800" w14:dist="38100" w14:dir="2700000" w14:sx="100000" w14:sy="100000" w14:kx="0" w14:ky="0" w14:algn="tl">
          <w14:srgbClr w14:val="000000">
            <w14:alpha w14:val="60000"/>
          </w14:srgbClr>
        </w14:shadow>
      </w:rPr>
    </w:pPr>
    <w:r>
      <w:rPr>
        <w:rFonts w:ascii="Tahoma" w:hAnsi="Tahoma" w:cs="Tahoma"/>
        <w:sz w:val="12"/>
        <w:szCs w:val="12"/>
        <w14:shadow w14:blurRad="50800" w14:dist="38100" w14:dir="2700000" w14:sx="100000" w14:sy="100000" w14:kx="0" w14:ky="0" w14:algn="tl">
          <w14:srgbClr w14:val="000000">
            <w14:alpha w14:val="60000"/>
          </w14:srgbClr>
        </w14:shadow>
      </w:rPr>
      <w:t xml:space="preserve"> 072-2507770  </w:t>
    </w:r>
    <w:r>
      <w:rPr>
        <w:rFonts w:ascii="Tahoma" w:hAnsi="Tahoma" w:cs="Tahoma" w:hint="cs"/>
        <w:sz w:val="12"/>
        <w:szCs w:val="12"/>
        <w:rtl/>
        <w:lang w:bidi="he-IL"/>
        <w14:shadow w14:blurRad="50800" w14:dist="38100" w14:dir="2700000" w14:sx="100000" w14:sy="100000" w14:kx="0" w14:ky="0" w14:algn="tl">
          <w14:srgbClr w14:val="000000">
            <w14:alpha w14:val="60000"/>
          </w14:srgbClr>
        </w14:shadow>
      </w:rPr>
      <w:t>טלפון:</w:t>
    </w:r>
    <w:r>
      <w:rPr>
        <w:rFonts w:ascii="Tahoma" w:hAnsi="Tahoma" w:cs="Tahoma"/>
        <w:sz w:val="12"/>
        <w:szCs w:val="12"/>
        <w14:shadow w14:blurRad="50800" w14:dist="38100" w14:dir="2700000" w14:sx="100000" w14:sy="100000" w14:kx="0" w14:ky="0" w14:algn="tl">
          <w14:srgbClr w14:val="000000">
            <w14:alpha w14:val="60000"/>
          </w14:srgbClr>
        </w14:shadow>
      </w:rPr>
      <w:t xml:space="preserve">         </w:t>
    </w:r>
    <w:hyperlink r:id="rId1" w:history="1">
      <w:r w:rsidR="00B467B5" w:rsidRPr="00411F91">
        <w:rPr>
          <w:rStyle w:val="Hyperlink"/>
          <w:rFonts w:ascii="Tahoma" w:hAnsi="Tahoma" w:cs="Tahoma"/>
          <w:sz w:val="12"/>
          <w:szCs w:val="12"/>
          <w14:shadow w14:blurRad="50800" w14:dist="38100" w14:dir="2700000" w14:sx="100000" w14:sy="100000" w14:kx="0" w14:ky="0" w14:algn="tl">
            <w14:srgbClr w14:val="000000">
              <w14:alpha w14:val="60000"/>
            </w14:srgbClr>
          </w14:shadow>
        </w:rPr>
        <w:t>www.ruach-nashit.org.il</w:t>
      </w:r>
    </w:hyperlink>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br/>
    </w:r>
    <w:r w:rsidR="00CF15D8"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ת</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ד</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 xml:space="preserve">. 51141, </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ת</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w:t>
    </w:r>
    <w:r w:rsidR="00B467B5" w:rsidRPr="00411F91">
      <w:rPr>
        <w:rFonts w:ascii="Tahoma" w:hAnsi="Tahoma" w:cs="Tahoma"/>
        <w:sz w:val="12"/>
        <w:szCs w:val="12"/>
        <w:rtl/>
        <w:lang w:bidi="he-IL"/>
        <w14:shadow w14:blurRad="50800" w14:dist="38100" w14:dir="2700000" w14:sx="100000" w14:sy="100000" w14:kx="0" w14:ky="0" w14:algn="tl">
          <w14:srgbClr w14:val="000000">
            <w14:alpha w14:val="60000"/>
          </w14:srgbClr>
        </w14:shadow>
      </w:rPr>
      <w:t>א</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w:t>
    </w:r>
    <w:r>
      <w:rPr>
        <w:rFonts w:ascii="Tahoma" w:hAnsi="Tahoma" w:cs="Tahoma" w:hint="cs"/>
        <w:b/>
        <w:bCs/>
        <w:sz w:val="12"/>
        <w:szCs w:val="12"/>
        <w:rtl/>
        <w:lang w:bidi="he-I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b/>
        <w:bCs/>
        <w:sz w:val="12"/>
        <w:szCs w:val="12"/>
        <w:rtl/>
        <w14:shadow w14:blurRad="50800" w14:dist="38100" w14:dir="2700000" w14:sx="100000" w14:sy="100000" w14:kx="0" w14:ky="0" w14:algn="tl">
          <w14:srgbClr w14:val="000000">
            <w14:alpha w14:val="60000"/>
          </w14:srgbClr>
        </w14:shadow>
      </w:rPr>
      <w:t xml:space="preserve"> </w:t>
    </w:r>
    <w:r w:rsidR="00B467B5" w:rsidRPr="00411F91">
      <w:rPr>
        <w:rFonts w:ascii="Tahoma" w:hAnsi="Tahoma" w:cs="Tahoma"/>
        <w:sz w:val="12"/>
        <w:szCs w:val="12"/>
        <w:rtl/>
        <w14:shadow w14:blurRad="50800" w14:dist="38100" w14:dir="2700000" w14:sx="100000" w14:sy="100000" w14:kx="0" w14:ky="0" w14:algn="tl">
          <w14:srgbClr w14:val="000000">
            <w14:alpha w14:val="60000"/>
          </w14:srgbClr>
        </w14:shadow>
      </w:rPr>
      <w:t>6713813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D0" w:rsidRDefault="00256DD0" w:rsidP="00640C88">
      <w:pPr>
        <w:spacing w:after="0" w:line="240" w:lineRule="auto"/>
      </w:pPr>
      <w:r>
        <w:separator/>
      </w:r>
    </w:p>
  </w:footnote>
  <w:footnote w:type="continuationSeparator" w:id="0">
    <w:p w:rsidR="00256DD0" w:rsidRDefault="00256DD0" w:rsidP="00640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88" w:rsidRDefault="00640C88">
    <w:pPr>
      <w:pStyle w:val="a4"/>
    </w:pPr>
    <w:r>
      <w:rPr>
        <w:noProof/>
        <w:lang w:bidi="he-IL"/>
      </w:rPr>
      <w:drawing>
        <wp:anchor distT="0" distB="0" distL="114300" distR="114300" simplePos="0" relativeHeight="251659264" behindDoc="0" locked="0" layoutInCell="1" allowOverlap="1" wp14:anchorId="34C85147" wp14:editId="03E2DF8C">
          <wp:simplePos x="0" y="0"/>
          <wp:positionH relativeFrom="column">
            <wp:posOffset>5558155</wp:posOffset>
          </wp:positionH>
          <wp:positionV relativeFrom="paragraph">
            <wp:posOffset>-346710</wp:posOffset>
          </wp:positionV>
          <wp:extent cx="958215" cy="836930"/>
          <wp:effectExtent l="0" t="0" r="0" b="1270"/>
          <wp:wrapSquare wrapText="bothSides"/>
          <wp:docPr id="7" name="תמונה 7" descr="לוגורוח נש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לוגורוח נש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836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657C"/>
    <w:multiLevelType w:val="hybridMultilevel"/>
    <w:tmpl w:val="01B865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A133B2"/>
    <w:multiLevelType w:val="hybridMultilevel"/>
    <w:tmpl w:val="01B86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7651C4"/>
    <w:multiLevelType w:val="hybridMultilevel"/>
    <w:tmpl w:val="40F42B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280C51"/>
    <w:multiLevelType w:val="hybridMultilevel"/>
    <w:tmpl w:val="FB3CD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02551"/>
    <w:multiLevelType w:val="hybridMultilevel"/>
    <w:tmpl w:val="87BA6FA2"/>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ED"/>
    <w:rsid w:val="00127A4F"/>
    <w:rsid w:val="001A2A2C"/>
    <w:rsid w:val="001B3A6B"/>
    <w:rsid w:val="00256DD0"/>
    <w:rsid w:val="003E1E66"/>
    <w:rsid w:val="00411F91"/>
    <w:rsid w:val="00432D9A"/>
    <w:rsid w:val="00452CD3"/>
    <w:rsid w:val="00453941"/>
    <w:rsid w:val="004A72A4"/>
    <w:rsid w:val="00510A66"/>
    <w:rsid w:val="00640C88"/>
    <w:rsid w:val="006A0ACE"/>
    <w:rsid w:val="006B049D"/>
    <w:rsid w:val="007C44D3"/>
    <w:rsid w:val="007E20CE"/>
    <w:rsid w:val="0085158A"/>
    <w:rsid w:val="008A6A96"/>
    <w:rsid w:val="009D2B9C"/>
    <w:rsid w:val="00A263EF"/>
    <w:rsid w:val="00B467B5"/>
    <w:rsid w:val="00BE51ED"/>
    <w:rsid w:val="00C9264F"/>
    <w:rsid w:val="00C97D4C"/>
    <w:rsid w:val="00CF15D8"/>
    <w:rsid w:val="00D65B8B"/>
    <w:rsid w:val="00E37E93"/>
    <w:rsid w:val="00FF1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ED"/>
    <w:pPr>
      <w:ind w:left="720"/>
      <w:contextualSpacing/>
    </w:pPr>
  </w:style>
  <w:style w:type="character" w:styleId="Hyperlink">
    <w:name w:val="Hyperlink"/>
    <w:basedOn w:val="a0"/>
    <w:unhideWhenUsed/>
    <w:rsid w:val="00510A66"/>
    <w:rPr>
      <w:color w:val="0563C1" w:themeColor="hyperlink"/>
      <w:u w:val="single"/>
    </w:rPr>
  </w:style>
  <w:style w:type="paragraph" w:styleId="a4">
    <w:name w:val="header"/>
    <w:basedOn w:val="a"/>
    <w:link w:val="a5"/>
    <w:uiPriority w:val="99"/>
    <w:unhideWhenUsed/>
    <w:rsid w:val="00640C88"/>
    <w:pPr>
      <w:tabs>
        <w:tab w:val="center" w:pos="4680"/>
        <w:tab w:val="right" w:pos="9360"/>
      </w:tabs>
      <w:spacing w:after="0" w:line="240" w:lineRule="auto"/>
    </w:pPr>
  </w:style>
  <w:style w:type="character" w:customStyle="1" w:styleId="a5">
    <w:name w:val="כותרת עליונה תו"/>
    <w:basedOn w:val="a0"/>
    <w:link w:val="a4"/>
    <w:uiPriority w:val="99"/>
    <w:rsid w:val="00640C88"/>
  </w:style>
  <w:style w:type="paragraph" w:styleId="a6">
    <w:name w:val="footer"/>
    <w:basedOn w:val="a"/>
    <w:link w:val="a7"/>
    <w:uiPriority w:val="99"/>
    <w:unhideWhenUsed/>
    <w:rsid w:val="00640C88"/>
    <w:pPr>
      <w:tabs>
        <w:tab w:val="center" w:pos="4680"/>
        <w:tab w:val="right" w:pos="9360"/>
      </w:tabs>
      <w:spacing w:after="0" w:line="240" w:lineRule="auto"/>
    </w:pPr>
  </w:style>
  <w:style w:type="character" w:customStyle="1" w:styleId="a7">
    <w:name w:val="כותרת תחתונה תו"/>
    <w:basedOn w:val="a0"/>
    <w:link w:val="a6"/>
    <w:uiPriority w:val="99"/>
    <w:rsid w:val="0064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ED"/>
    <w:pPr>
      <w:ind w:left="720"/>
      <w:contextualSpacing/>
    </w:pPr>
  </w:style>
  <w:style w:type="character" w:styleId="Hyperlink">
    <w:name w:val="Hyperlink"/>
    <w:basedOn w:val="a0"/>
    <w:unhideWhenUsed/>
    <w:rsid w:val="00510A66"/>
    <w:rPr>
      <w:color w:val="0563C1" w:themeColor="hyperlink"/>
      <w:u w:val="single"/>
    </w:rPr>
  </w:style>
  <w:style w:type="paragraph" w:styleId="a4">
    <w:name w:val="header"/>
    <w:basedOn w:val="a"/>
    <w:link w:val="a5"/>
    <w:uiPriority w:val="99"/>
    <w:unhideWhenUsed/>
    <w:rsid w:val="00640C88"/>
    <w:pPr>
      <w:tabs>
        <w:tab w:val="center" w:pos="4680"/>
        <w:tab w:val="right" w:pos="9360"/>
      </w:tabs>
      <w:spacing w:after="0" w:line="240" w:lineRule="auto"/>
    </w:pPr>
  </w:style>
  <w:style w:type="character" w:customStyle="1" w:styleId="a5">
    <w:name w:val="כותרת עליונה תו"/>
    <w:basedOn w:val="a0"/>
    <w:link w:val="a4"/>
    <w:uiPriority w:val="99"/>
    <w:rsid w:val="00640C88"/>
  </w:style>
  <w:style w:type="paragraph" w:styleId="a6">
    <w:name w:val="footer"/>
    <w:basedOn w:val="a"/>
    <w:link w:val="a7"/>
    <w:uiPriority w:val="99"/>
    <w:unhideWhenUsed/>
    <w:rsid w:val="00640C88"/>
    <w:pPr>
      <w:tabs>
        <w:tab w:val="center" w:pos="4680"/>
        <w:tab w:val="right" w:pos="9360"/>
      </w:tabs>
      <w:spacing w:after="0" w:line="240" w:lineRule="auto"/>
    </w:pPr>
  </w:style>
  <w:style w:type="character" w:customStyle="1" w:styleId="a7">
    <w:name w:val="כותרת תחתונה תו"/>
    <w:basedOn w:val="a0"/>
    <w:link w:val="a6"/>
    <w:uiPriority w:val="99"/>
    <w:rsid w:val="0064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ach-nashit.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uach-nashit.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2023</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samcon</dc:creator>
  <cp:lastModifiedBy>keren shahar</cp:lastModifiedBy>
  <cp:revision>2</cp:revision>
  <cp:lastPrinted>2016-05-16T15:05:00Z</cp:lastPrinted>
  <dcterms:created xsi:type="dcterms:W3CDTF">2018-01-09T10:41:00Z</dcterms:created>
  <dcterms:modified xsi:type="dcterms:W3CDTF">2018-01-09T10:41:00Z</dcterms:modified>
</cp:coreProperties>
</file>